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1.有人把学业失败的原因说成是努力不够，这种归因属于(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A.内部而稳定的归因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0.25pt">
                  <v:imagedata r:id="rId4" o:title=""/>
                </v:shape>
              </w:pict>
            </w:r>
            <w:r>
              <w:pict>
                <v:shape id="_x0000_i1026" type="#_x0000_t75" style="height:9pt;width:86.26pt">
                  <v:imagedata r:id="rId5" o:title=""/>
                </v:shape>
              </w:pict>
            </w:r>
            <w:r>
              <w:t>19.23%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B.外部而不稳定的归因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4.25pt">
                  <v:imagedata r:id="rId6" o:title=""/>
                </v:shape>
              </w:pict>
            </w:r>
            <w:r>
              <w:pict>
                <v:shape id="_x0000_i1028" type="#_x0000_t75" style="height:9pt;width:92.26pt">
                  <v:imagedata r:id="rId7" o:title=""/>
                </v:shape>
              </w:pict>
            </w:r>
            <w:r>
              <w:t>13.46%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C.外部而稳定的归因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D.内部而不稳定的归因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71.26pt">
                  <v:imagedata r:id="rId9" o:title=""/>
                </v:shape>
              </w:pict>
            </w:r>
            <w:r>
              <w:pict>
                <v:shape id="_x0000_i1031" type="#_x0000_t75" style="height:9pt;width:35.25pt">
                  <v:imagedata r:id="rId10" o:title=""/>
                </v:shape>
              </w:pict>
            </w:r>
            <w:r>
              <w:t>67.31%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2.采用对课文进行分段、概括段意的方法来记住课文内容，这种记忆策略称为(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2.5pt">
                  <v:imagedata r:id="rId11" o:title=""/>
                </v:shape>
              </w:pict>
            </w:r>
            <w:r>
              <w:pict>
                <v:shape id="_x0000_i1033" type="#_x0000_t75" style="height:9pt;width:84.01pt">
                  <v:imagedata r:id="rId12" o:title=""/>
                </v:shape>
              </w:pict>
            </w:r>
            <w:r>
              <w:t>21.15%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B.组织策略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3.26pt">
                  <v:imagedata r:id="rId13" o:title=""/>
                </v:shape>
              </w:pict>
            </w:r>
            <w:r>
              <w:pict>
                <v:shape id="_x0000_i1035" type="#_x0000_t75" style="height:9pt;width:53.26pt">
                  <v:imagedata r:id="rId14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C.提取策略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0pt">
                  <v:imagedata r:id="rId15" o:title=""/>
                </v:shape>
              </w:pict>
            </w:r>
            <w:r>
              <w:pict>
                <v:shape id="_x0000_i1037" type="#_x0000_t75" style="height:9pt;width:76.51pt">
                  <v:imagedata r:id="rId16" o:title=""/>
                </v:shape>
              </w:pict>
            </w:r>
            <w:r>
              <w:t>28.85%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D.阐述策略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3.沈老师在教授新课文时通常会采用列提纲的形式来板书，用简要的语词写下主要和次要的观点。她所使用的学习策略是(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A.精细加工策略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2.25pt">
                  <v:imagedata r:id="rId17" o:title=""/>
                </v:shape>
              </w:pict>
            </w:r>
            <w:r>
              <w:pict>
                <v:shape id="_x0000_i1040" type="#_x0000_t75" style="height:9pt;width:74.26pt">
                  <v:imagedata r:id="rId18" o:title=""/>
                </v:shape>
              </w:pict>
            </w:r>
            <w:r>
              <w:t>30.77%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B.组织策略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9.01pt">
                  <v:imagedata r:id="rId19" o:title=""/>
                </v:shape>
              </w:pict>
            </w:r>
            <w:r>
              <w:pict>
                <v:shape id="_x0000_i1042" type="#_x0000_t75" style="height:9pt;width:37.51pt">
                  <v:imagedata r:id="rId20" o:title=""/>
                </v:shape>
              </w:pict>
            </w:r>
            <w:r>
              <w:t>65.38%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C.元认知策略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D.阅读理解策略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.75pt">
                  <v:imagedata r:id="rId21" o:title=""/>
                </v:shape>
              </w:pict>
            </w:r>
            <w:r>
              <w:pict>
                <v:shape id="_x0000_i1045" type="#_x0000_t75" style="height:9pt;width:102.76pt">
                  <v:imagedata r:id="rId22" o:title=""/>
                </v:shape>
              </w:pict>
            </w:r>
            <w:r>
              <w:t>3.85%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4.一学生在测验时遇到某个难题，暂时跳过去，先做简单的，这表明他已经掌握了一些(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.75pt">
                  <v:imagedata r:id="rId21" o:title=""/>
                </v:shape>
              </w:pict>
            </w:r>
            <w:r>
              <w:pict>
                <v:shape id="_x0000_i1047" type="#_x0000_t75" style="height:9pt;width:102.76pt">
                  <v:imagedata r:id="rId22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B.问题解决的策略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2.76pt">
                  <v:imagedata r:id="rId23" o:title=""/>
                </v:shape>
              </w:pict>
            </w:r>
            <w:r>
              <w:pict>
                <v:shape id="_x0000_i1049" type="#_x0000_t75" style="height:9pt;width:63.76pt">
                  <v:imagedata r:id="rId24" o:title=""/>
                </v:shape>
              </w:pict>
            </w:r>
            <w:r>
              <w:t>40.38%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C.元认知策略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9.26pt">
                  <v:imagedata r:id="rId25" o:title=""/>
                </v:shape>
              </w:pict>
            </w:r>
            <w:r>
              <w:pict>
                <v:shape id="_x0000_i1051" type="#_x0000_t75" style="height:9pt;width:47.26pt">
                  <v:imagedata r:id="rId26" o:title=""/>
                </v:shape>
              </w:pict>
            </w:r>
            <w:r>
              <w:t>55.77%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D.精细加工策略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55.77%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5.在学习过程中，利用缩减和编歌诀的方法帮助记忆，这种学习策略属于(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A.精细加工策略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87.76pt">
                  <v:imagedata r:id="rId27" o:title=""/>
                </v:shape>
              </w:pict>
            </w:r>
            <w:r>
              <w:pict>
                <v:shape id="_x0000_i1054" type="#_x0000_t75" style="height:9pt;width:18.75pt">
                  <v:imagedata r:id="rId28" o:title=""/>
                </v:shape>
              </w:pict>
            </w:r>
            <w:r>
              <w:t>82.69%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B.复述策略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7.5pt">
                  <v:imagedata r:id="rId29" o:title=""/>
                </v:shape>
              </w:pict>
            </w:r>
            <w:r>
              <w:pict>
                <v:shape id="_x0000_i1057" type="#_x0000_t75" style="height:9pt;width:99.01pt">
                  <v:imagedata r:id="rId30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D.资源管理策略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9.75pt">
                  <v:imagedata r:id="rId31" o:title=""/>
                </v:shape>
              </w:pict>
            </w:r>
            <w:r>
              <w:pict>
                <v:shape id="_x0000_i1059" type="#_x0000_t75" style="height:9pt;width:96.76pt">
                  <v:imagedata r:id="rId32" o:title=""/>
                </v:shape>
              </w:pict>
            </w:r>
            <w:r>
              <w:t>9.62%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82.69%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