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2022教招每日一练（1月11日）</w:t>
      </w:r>
    </w:p>
    <w:p w:rsidR="00A77B3E">
      <w:pPr>
        <w:rPr>
          <w:b/>
          <w:sz w:val="32"/>
        </w:rPr>
      </w:pPr>
      <w:r>
        <w:rPr>
          <w:b w:val="0"/>
          <w:color w:val="000000"/>
          <w:sz w:val="24"/>
        </w:rPr>
        <w:t>1.我国义务教育经费的主要来源是(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jc w:val="left"/>
            </w:pPr>
            <w:r>
              <w:t>选项</w:t>
            </w:r>
          </w:p>
        </w:tc>
        <w:tc>
          <w:tcPr>
            <w:shd w:val="clear" w:color="auto" w:fill="F5F5F5"/>
            <w:vAlign w:val="center"/>
          </w:tcPr>
          <w:p>
            <w:pPr>
              <w:jc w:val="center"/>
            </w:pPr>
            <w:r>
              <w:t>小计</w:t>
            </w:r>
          </w:p>
        </w:tc>
        <w:tc>
          <w:tcPr>
            <w:shd w:val="clear" w:color="auto" w:fill="F5F5F5"/>
            <w:vAlign w:val="center"/>
          </w:tcPr>
          <w:p>
            <w:pPr>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A.教育专项</w:t>
            </w:r>
          </w:p>
        </w:tc>
        <w:tc>
          <w:tcPr>
            <w:shd w:val="clear" w:color="auto" w:fill="FFFFFF"/>
            <w:vAlign w:val="center"/>
          </w:tcPr>
          <w:p>
            <w:pPr>
              <w:jc w:val="center"/>
            </w:pPr>
            <w:r>
              <w:t>10</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5.5pt">
                  <v:imagedata r:id="rId4" o:title=""/>
                </v:shape>
              </w:pict>
            </w:r>
            <w:r>
              <w:pict>
                <v:shape id="_x0000_i1026" type="#_x0000_t75" style="height:9pt;width:81.01pt">
                  <v:imagedata r:id="rId5" o:title=""/>
                </v:shape>
              </w:pict>
            </w:r>
            <w:r>
              <w:t>24.39%</w:t>
            </w:r>
          </w:p>
        </w:tc>
      </w:tr>
      <w:tr>
        <w:tblPrEx>
          <w:tblW w:w="5000" w:type="pct"/>
          <w:jc w:val="left"/>
          <w:tblCellMar>
            <w:left w:w="108" w:type="dxa"/>
            <w:right w:w="108" w:type="dxa"/>
          </w:tblCellMar>
        </w:tblPrEx>
        <w:trPr>
          <w:trHeight w:val="500"/>
          <w:jc w:val="left"/>
        </w:trPr>
        <w:tc>
          <w:tcPr>
            <w:shd w:val="clear" w:color="auto" w:fill="FAFAFA"/>
            <w:vAlign w:val="center"/>
          </w:tcPr>
          <w:p>
            <w:pPr>
              <w:jc w:val="left"/>
            </w:pPr>
            <w:r>
              <w:t>B.学生学费</w:t>
            </w:r>
          </w:p>
        </w:tc>
        <w:tc>
          <w:tcPr>
            <w:shd w:val="clear" w:color="auto" w:fill="FAFAFA"/>
            <w:vAlign w:val="center"/>
          </w:tcPr>
          <w:p>
            <w:pPr>
              <w:jc w:val="center"/>
            </w:pPr>
            <w:r>
              <w:t>0</w:t>
            </w:r>
          </w:p>
        </w:tc>
        <w:tc>
          <w:tcPr>
            <w:shd w:val="clear" w:color="auto" w:fill="FAFAFA"/>
            <w:vAlign w:val="center"/>
          </w:tcPr>
          <w:p>
            <w:pPr>
              <w:jc w:val="left"/>
            </w:pPr>
            <w:r>
              <w:pict>
                <v:shape id="_x0000_i1027"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C.社会集资</w:t>
            </w:r>
          </w:p>
        </w:tc>
        <w:tc>
          <w:tcPr>
            <w:shd w:val="clear" w:color="auto" w:fill="FFFFFF"/>
            <w:vAlign w:val="center"/>
          </w:tcPr>
          <w:p>
            <w:pPr>
              <w:jc w:val="center"/>
            </w:pPr>
            <w:r>
              <w:t>0</w:t>
            </w:r>
          </w:p>
        </w:tc>
        <w:tc>
          <w:tcPr>
            <w:shd w:val="clear" w:color="auto" w:fill="FFFFFF"/>
            <w:vAlign w:val="center"/>
          </w:tcPr>
          <w:p>
            <w:pPr>
              <w:jc w:val="left"/>
            </w:pPr>
            <w:r>
              <w:pict>
                <v:shape id="_x0000_i1028"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D.国家财政</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31</w:t>
            </w:r>
          </w:p>
        </w:tc>
        <w:tc>
          <w:tcPr>
            <w:shd w:val="clear" w:color="auto" w:fill="FAFAFA"/>
            <w:vAlign w:val="center"/>
          </w:tcPr>
          <w:p>
            <w:pPr>
              <w:bidi w:val="0"/>
              <w:jc w:val="left"/>
            </w:pPr>
            <w:r>
              <w:pict>
                <v:shape id="_x0000_i1029" type="#_x0000_t75" style="height:9pt;width:80.26pt">
                  <v:imagedata r:id="rId7" o:title=""/>
                </v:shape>
              </w:pict>
            </w:r>
            <w:r>
              <w:pict>
                <v:shape id="_x0000_i1030" type="#_x0000_t75" style="height:9pt;width:26.25pt">
                  <v:imagedata r:id="rId8" o:title=""/>
                </v:shape>
              </w:pict>
            </w:r>
            <w:r>
              <w:t>75.61%</w:t>
            </w:r>
          </w:p>
        </w:tc>
      </w:tr>
    </w:tbl>
    <w:p>
      <w:pPr>
        <w:bidi w:val="0"/>
      </w:pPr>
      <w:r>
        <w:rPr>
          <w:rStyle w:val="DefaultParagraphFont"/>
          <w:bdr w:val="nil"/>
          <w:rtl w:val="0"/>
        </w:rPr>
        <w:t>正确率：</w:t>
      </w:r>
      <w:r>
        <w:rPr>
          <w:rStyle w:val="DefaultParagraphFont"/>
          <w:color w:val="FF6600"/>
          <w:bdr w:val="nil"/>
          <w:rtl w:val="0"/>
        </w:rPr>
        <w:t>75.61%</w:t>
      </w:r>
    </w:p>
    <w:p>
      <w:pPr>
        <w:bidi w:val="0"/>
      </w:pPr>
    </w:p>
    <w:p>
      <w:pPr>
        <w:bidi w:val="0"/>
      </w:pPr>
    </w:p>
    <w:p>
      <w:pPr>
        <w:bidi w:val="0"/>
      </w:pPr>
      <w:r>
        <w:rPr>
          <w:b w:val="0"/>
          <w:color w:val="000000"/>
          <w:sz w:val="24"/>
        </w:rPr>
        <w:t>2.我国的教育基本法是(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A.《中华人民共和国教育法》</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41</w:t>
            </w:r>
          </w:p>
        </w:tc>
        <w:tc>
          <w:tcPr>
            <w:shd w:val="clear" w:color="auto" w:fill="FFFFFF"/>
            <w:vAlign w:val="center"/>
          </w:tcPr>
          <w:p>
            <w:pPr>
              <w:bidi w:val="0"/>
              <w:jc w:val="left"/>
            </w:pPr>
            <w:r>
              <w:pict>
                <v:shape id="_x0000_i1031" type="#_x0000_t75" style="height:9pt;width:106.51pt">
                  <v:imagedata r:id="rId9" o:title=""/>
                </v:shape>
              </w:pict>
            </w:r>
            <w:r>
              <w:t>100%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B.《教师法》</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32"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C.《义务教育法》</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3"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D.《职业教育法》</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34"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3.我国《义务教育法》规定，适龄儿童，少年的父母或者其他法定监护人无正当理由未依照本法规定送适龄儿童、少年接受义务教育的，由( )给予批评教育，责令限期改正。</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A.义务教育学校</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5"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B.当地乡镇人民政府或者县级政府教育行政部门</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39</w:t>
            </w:r>
          </w:p>
        </w:tc>
        <w:tc>
          <w:tcPr>
            <w:shd w:val="clear" w:color="auto" w:fill="FAFAFA"/>
            <w:vAlign w:val="center"/>
          </w:tcPr>
          <w:p>
            <w:pPr>
              <w:bidi w:val="0"/>
              <w:jc w:val="left"/>
            </w:pPr>
            <w:r>
              <w:pict>
                <v:shape id="_x0000_i1036" type="#_x0000_t75" style="height:9pt;width:101.26pt">
                  <v:imagedata r:id="rId10" o:title=""/>
                </v:shape>
              </w:pict>
            </w:r>
            <w:r>
              <w:pict>
                <v:shape id="_x0000_i1037" type="#_x0000_t75" style="height:9pt;width:5.25pt">
                  <v:imagedata r:id="rId11" o:title=""/>
                </v:shape>
              </w:pict>
            </w:r>
            <w:r>
              <w:t>95.12%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C.当地乡镇(街道)党委</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38" type="#_x0000_t75" style="height:9pt;width:4.5pt">
                  <v:imagedata r:id="rId12" o:title=""/>
                </v:shape>
              </w:pict>
            </w:r>
            <w:r>
              <w:pict>
                <v:shape id="_x0000_i1039" type="#_x0000_t75" style="height:9pt;width:102.01pt">
                  <v:imagedata r:id="rId13" o:title=""/>
                </v:shape>
              </w:pict>
            </w:r>
            <w:r>
              <w:t>4.88%</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D.当地人民法院</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40"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95.12%</w:t>
      </w:r>
    </w:p>
    <w:p>
      <w:pPr>
        <w:bidi w:val="0"/>
      </w:pPr>
    </w:p>
    <w:p>
      <w:pPr>
        <w:bidi w:val="0"/>
      </w:pPr>
    </w:p>
    <w:p>
      <w:pPr>
        <w:bidi w:val="0"/>
      </w:pPr>
      <w:r>
        <w:rPr>
          <w:b w:val="0"/>
          <w:color w:val="000000"/>
          <w:sz w:val="24"/>
        </w:rPr>
        <w:t>4.学生为保持信息，对信息进行不断重复，以达到巩固所学知识，这里所采用的策略是(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A.复述策略</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39</w:t>
            </w:r>
          </w:p>
        </w:tc>
        <w:tc>
          <w:tcPr>
            <w:shd w:val="clear" w:color="auto" w:fill="FFFFFF"/>
            <w:vAlign w:val="center"/>
          </w:tcPr>
          <w:p>
            <w:pPr>
              <w:bidi w:val="0"/>
              <w:jc w:val="left"/>
            </w:pPr>
            <w:r>
              <w:pict>
                <v:shape id="_x0000_i1041" type="#_x0000_t75" style="height:9pt;width:101.26pt">
                  <v:imagedata r:id="rId10" o:title=""/>
                </v:shape>
              </w:pict>
            </w:r>
            <w:r>
              <w:pict>
                <v:shape id="_x0000_i1042" type="#_x0000_t75" style="height:9pt;width:5.25pt">
                  <v:imagedata r:id="rId11" o:title=""/>
                </v:shape>
              </w:pict>
            </w:r>
            <w:r>
              <w:t>95.12%</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B.精细加工策略</w:t>
            </w:r>
          </w:p>
        </w:tc>
        <w:tc>
          <w:tcPr>
            <w:shd w:val="clear" w:color="auto" w:fill="FAFAFA"/>
            <w:vAlign w:val="center"/>
          </w:tcPr>
          <w:p>
            <w:pPr>
              <w:bidi w:val="0"/>
              <w:jc w:val="center"/>
            </w:pPr>
            <w:r>
              <w:t>1</w:t>
            </w:r>
          </w:p>
        </w:tc>
        <w:tc>
          <w:tcPr>
            <w:shd w:val="clear" w:color="auto" w:fill="FAFAFA"/>
            <w:vAlign w:val="center"/>
          </w:tcPr>
          <w:p>
            <w:pPr>
              <w:bidi w:val="0"/>
              <w:jc w:val="left"/>
            </w:pPr>
            <w:r>
              <w:pict>
                <v:shape id="_x0000_i1043" type="#_x0000_t75" style="height:9pt;width:2.25pt">
                  <v:imagedata r:id="rId14" o:title=""/>
                </v:shape>
              </w:pict>
            </w:r>
            <w:r>
              <w:pict>
                <v:shape id="_x0000_i1044" type="#_x0000_t75" style="height:9pt;width:104.26pt">
                  <v:imagedata r:id="rId15" o:title=""/>
                </v:shape>
              </w:pict>
            </w:r>
            <w:r>
              <w:t>2.44%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C.组织策略</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5" type="#_x0000_t75" style="height:9pt;width:2.25pt">
                  <v:imagedata r:id="rId14" o:title=""/>
                </v:shape>
              </w:pict>
            </w:r>
            <w:r>
              <w:pict>
                <v:shape id="_x0000_i1046" type="#_x0000_t75" style="height:9pt;width:104.26pt">
                  <v:imagedata r:id="rId15" o:title=""/>
                </v:shape>
              </w:pict>
            </w:r>
            <w:r>
              <w:t>2.44%</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D.计划策略</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47"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95.12%</w:t>
      </w:r>
    </w:p>
    <w:p>
      <w:pPr>
        <w:bidi w:val="0"/>
      </w:pPr>
    </w:p>
    <w:p>
      <w:pPr>
        <w:bidi w:val="0"/>
      </w:pPr>
    </w:p>
    <w:p>
      <w:pPr>
        <w:bidi w:val="0"/>
      </w:pPr>
      <w:r>
        <w:rPr>
          <w:b w:val="0"/>
          <w:color w:val="000000"/>
          <w:sz w:val="24"/>
        </w:rPr>
        <w:t>5.下列作品中不是高尔基自传体三部曲的是(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A.《童年》</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48" type="#_x0000_t75" style="height:9pt;width:9.75pt">
                  <v:imagedata r:id="rId16" o:title=""/>
                </v:shape>
              </w:pict>
            </w:r>
            <w:r>
              <w:pict>
                <v:shape id="_x0000_i1049" type="#_x0000_t75" style="height:9pt;width:96.76pt">
                  <v:imagedata r:id="rId17" o:title=""/>
                </v:shape>
              </w:pict>
            </w:r>
            <w:r>
              <w:t>9.76%</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B.《少年》</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29</w:t>
            </w:r>
          </w:p>
        </w:tc>
        <w:tc>
          <w:tcPr>
            <w:shd w:val="clear" w:color="auto" w:fill="FAFAFA"/>
            <w:vAlign w:val="center"/>
          </w:tcPr>
          <w:p>
            <w:pPr>
              <w:bidi w:val="0"/>
              <w:jc w:val="left"/>
            </w:pPr>
            <w:r>
              <w:pict>
                <v:shape id="_x0000_i1050" type="#_x0000_t75" style="height:9pt;width:75.01pt">
                  <v:imagedata r:id="rId18" o:title=""/>
                </v:shape>
              </w:pict>
            </w:r>
            <w:r>
              <w:pict>
                <v:shape id="_x0000_i1051" type="#_x0000_t75" style="height:9pt;width:31.5pt">
                  <v:imagedata r:id="rId19" o:title=""/>
                </v:shape>
              </w:pict>
            </w:r>
            <w:r>
              <w:t>70.73%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C.《在人间》</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2" type="#_x0000_t75" style="height:9pt;width:9.75pt">
                  <v:imagedata r:id="rId16" o:title=""/>
                </v:shape>
              </w:pict>
            </w:r>
            <w:r>
              <w:pict>
                <v:shape id="_x0000_i1053" type="#_x0000_t75" style="height:9pt;width:96.76pt">
                  <v:imagedata r:id="rId17" o:title=""/>
                </v:shape>
              </w:pict>
            </w:r>
            <w:r>
              <w:t>9.76%</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D.《我的大学》</w:t>
            </w:r>
          </w:p>
        </w:tc>
        <w:tc>
          <w:tcPr>
            <w:shd w:val="clear" w:color="auto" w:fill="FAFAFA"/>
            <w:vAlign w:val="center"/>
          </w:tcPr>
          <w:p>
            <w:pPr>
              <w:bidi w:val="0"/>
              <w:jc w:val="center"/>
            </w:pPr>
            <w:r>
              <w:t>4</w:t>
            </w:r>
          </w:p>
        </w:tc>
        <w:tc>
          <w:tcPr>
            <w:shd w:val="clear" w:color="auto" w:fill="FAFAFA"/>
            <w:vAlign w:val="center"/>
          </w:tcPr>
          <w:p>
            <w:pPr>
              <w:bidi w:val="0"/>
              <w:jc w:val="left"/>
            </w:pPr>
            <w:r>
              <w:pict>
                <v:shape id="_x0000_i1054" type="#_x0000_t75" style="height:9pt;width:9.75pt">
                  <v:imagedata r:id="rId16" o:title=""/>
                </v:shape>
              </w:pict>
            </w:r>
            <w:r>
              <w:pict>
                <v:shape id="_x0000_i1055" type="#_x0000_t75" style="height:9pt;width:96.76pt">
                  <v:imagedata r:id="rId17" o:title=""/>
                </v:shape>
              </w:pict>
            </w:r>
            <w:r>
              <w:t>9.76%</w:t>
            </w:r>
          </w:p>
        </w:tc>
      </w:tr>
    </w:tbl>
    <w:p>
      <w:pPr>
        <w:bidi w:val="0"/>
      </w:pPr>
      <w:r>
        <w:rPr>
          <w:rStyle w:val="DefaultParagraphFont"/>
          <w:bdr w:val="nil"/>
          <w:rtl w:val="0"/>
        </w:rPr>
        <w:t>正确率：</w:t>
      </w:r>
      <w:r>
        <w:rPr>
          <w:rStyle w:val="DefaultParagraphFont"/>
          <w:color w:val="FF6600"/>
          <w:bdr w:val="nil"/>
          <w:rtl w:val="0"/>
        </w:rPr>
        <w:t>70.73%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