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1.开放课堂教学模式属于( )教学模式。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A.人本主义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5.76pt">
                  <v:imagedata r:id="rId4" o:title=""/>
                </v:shape>
              </w:pict>
            </w:r>
            <w:r>
              <w:pict>
                <v:shape id="_x0000_i1026" type="#_x0000_t75" style="height:9pt;width:30.75pt">
                  <v:imagedata r:id="rId5" o:title=""/>
                </v:shape>
              </w:pict>
            </w:r>
            <w:r>
              <w:t>71.43%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B.行为主义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.25pt">
                  <v:imagedata r:id="rId6" o:title=""/>
                </v:shape>
              </w:pict>
            </w:r>
            <w:r>
              <w:pict>
                <v:shape id="_x0000_i1028" type="#_x0000_t75" style="height:9pt;width:104.26pt">
                  <v:imagedata r:id="rId7" o:title=""/>
                </v:shape>
              </w:pict>
            </w:r>
            <w:r>
              <w:t>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C.建构主义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2.5pt">
                  <v:imagedata r:id="rId8" o:title=""/>
                </v:shape>
              </w:pict>
            </w:r>
            <w:r>
              <w:pict>
                <v:shape id="_x0000_i1030" type="#_x0000_t75" style="height:9pt;width:84.01pt">
                  <v:imagedata r:id="rId9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D.认知主义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10" o:title=""/>
                </v:shape>
              </w:pict>
            </w:r>
            <w:r>
              <w:pict>
                <v:shape id="_x0000_i1032" type="#_x0000_t75" style="height:9pt;width:102.01pt">
                  <v:imagedata r:id="rId11" o:title=""/>
                </v:shape>
              </w:pict>
            </w:r>
            <w:r>
              <w:t>4.76%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2.问题解决的特点，包括(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A.目的性、认知性、操作性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50.26pt">
                  <v:imagedata r:id="rId12" o:title=""/>
                </v:shape>
              </w:pict>
            </w:r>
            <w:r>
              <w:pict>
                <v:shape id="_x0000_i1034" type="#_x0000_t75" style="height:9pt;width:56.26pt">
                  <v:imagedata r:id="rId13" o:title=""/>
                </v:shape>
              </w:pict>
            </w:r>
            <w:r>
              <w:t>47.62%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B.目的性、序列性、操作性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7.75pt">
                  <v:imagedata r:id="rId14" o:title=""/>
                </v:shape>
              </w:pict>
            </w:r>
            <w:r>
              <w:pict>
                <v:shape id="_x0000_i1036" type="#_x0000_t75" style="height:9pt;width:78.76pt">
                  <v:imagedata r:id="rId15" o:title=""/>
                </v:shape>
              </w:pict>
            </w:r>
            <w:r>
              <w:t>26.19%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C客观性、认知性、操作性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.25pt">
                  <v:imagedata r:id="rId6" o:title=""/>
                </v:shape>
              </w:pict>
            </w:r>
            <w:r>
              <w:pict>
                <v:shape id="_x0000_i1038" type="#_x0000_t75" style="height:9pt;width:104.26pt">
                  <v:imagedata r:id="rId7" o:title=""/>
                </v:shape>
              </w:pict>
            </w:r>
            <w:r>
              <w:t>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D.目的性、认知性、序列性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4.75pt">
                  <v:imagedata r:id="rId16" o:title=""/>
                </v:shape>
              </w:pict>
            </w:r>
            <w:r>
              <w:pict>
                <v:shape id="_x0000_i1040" type="#_x0000_t75" style="height:9pt;width:81.76pt">
                  <v:imagedata r:id="rId17" o:title=""/>
                </v:shape>
              </w:pict>
            </w:r>
            <w:r>
              <w:t>23.81%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23.81%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3.我们可以发现，人们一般是在出生时就发展了喜怒哀惧的一般情绪，然后再逐渐发展出理智感、道德感等高级情感，而不是先有高级情感后才有一般情绪。这体现心理发展的(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A.阶段性与连续性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7.75pt">
                  <v:imagedata r:id="rId14" o:title=""/>
                </v:shape>
              </w:pict>
            </w:r>
            <w:r>
              <w:pict>
                <v:shape id="_x0000_i1042" type="#_x0000_t75" style="height:9pt;width:78.76pt">
                  <v:imagedata r:id="rId15" o:title=""/>
                </v:shape>
              </w:pict>
            </w:r>
            <w:r>
              <w:t>26.19%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B.定向性与顺序性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3.51pt">
                  <v:imagedata r:id="rId18" o:title=""/>
                </v:shape>
              </w:pict>
            </w:r>
            <w:r>
              <w:pict>
                <v:shape id="_x0000_i1044" type="#_x0000_t75" style="height:9pt;width:33pt">
                  <v:imagedata r:id="rId19" o:title=""/>
                </v:shape>
              </w:pict>
            </w:r>
            <w:r>
              <w:t>69.05%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.5pt">
                  <v:imagedata r:id="rId10" o:title=""/>
                </v:shape>
              </w:pict>
            </w:r>
            <w:r>
              <w:pict>
                <v:shape id="_x0000_i1046" type="#_x0000_t75" style="height:9pt;width:102.01pt">
                  <v:imagedata r:id="rId11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D.差异性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4.具体规定国家各级各类学校性质、任务、入学条件、修业年限以及彼此之间的关系的是(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5.26pt">
                  <v:imagedata r:id="rId21" o:title=""/>
                </v:shape>
              </w:pict>
            </w:r>
            <w:r>
              <w:pict>
                <v:shape id="_x0000_i1049" type="#_x0000_t75" style="height:9pt;width:41.26pt">
                  <v:imagedata r:id="rId22" o:title=""/>
                </v:shape>
              </w:pict>
            </w:r>
            <w:r>
              <w:t>61.9%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B.培养目标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9.75pt">
                  <v:imagedata r:id="rId23" o:title=""/>
                </v:shape>
              </w:pict>
            </w:r>
            <w:r>
              <w:pict>
                <v:shape id="_x0000_i1051" type="#_x0000_t75" style="height:9pt;width:96.76pt">
                  <v:imagedata r:id="rId24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C.教育方针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2.5pt">
                  <v:imagedata r:id="rId8" o:title=""/>
                </v:shape>
              </w:pict>
            </w:r>
            <w:r>
              <w:pict>
                <v:shape id="_x0000_i1053" type="#_x0000_t75" style="height:9pt;width:84.01pt">
                  <v:imagedata r:id="rId9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D.课程计划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.5pt">
                  <v:imagedata r:id="rId25" o:title=""/>
                </v:shape>
              </w:pict>
            </w:r>
            <w:r>
              <w:pict>
                <v:shape id="_x0000_i1055" type="#_x0000_t75" style="height:9pt;width:99.01pt">
                  <v:imagedata r:id="rId26" o:title=""/>
                </v:shape>
              </w:pict>
            </w:r>
            <w:r>
              <w:t>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5.在良好的环境中，有的人却没有什么成就，甚至走向与环境所要求的相反道路;在恶劣的环境中，有的人却出污泥而不染。这种现象说明(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A.人的发展不受环境的影响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6" o:title=""/>
                </v:shape>
              </w:pict>
            </w:r>
            <w:r>
              <w:pict>
                <v:shape id="_x0000_i1057" type="#_x0000_t75" style="height:9pt;width:104.26pt">
                  <v:imagedata r:id="rId7" o:title=""/>
                </v:shape>
              </w:pict>
            </w:r>
            <w:r>
              <w:t>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B.人们接受环境不是消极被动的，而是积极的能动的实践过程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3.51pt">
                  <v:imagedata r:id="rId27" o:title=""/>
                </v:shape>
              </w:pict>
            </w:r>
            <w:r>
              <w:pict>
                <v:shape id="_x0000_i1059" type="#_x0000_t75" style="height:9pt;width:3pt">
                  <v:imagedata r:id="rId28" o:title=""/>
                </v:shape>
              </w:pict>
            </w:r>
            <w:r>
              <w:t>97.62%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C.好的环境不利于人的发展，坏的环境更对人的发展有利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D.人是环境的奴隶，个人发展是好是坏，完全由环境来决定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97.62%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