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教师招聘每日一练（8月24日）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1.( )认知风格的特点是在解决问题时，学习者善于采用发散性思维，从多个视角对问题进行全面思考，考虑多种假设，兼顾到解决问题的各种可能性。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A.表层加工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.25pt">
                  <v:imagedata r:id="rId4" o:title=""/>
                </v:shape>
              </w:pict>
            </w:r>
            <w:r>
              <w:pict>
                <v:shape id="_x0000_i1026" type="#_x0000_t75" style="height:9pt;width:104.26pt">
                  <v:imagedata r:id="rId5" o:title=""/>
                </v:shape>
              </w:pict>
            </w:r>
            <w:r>
              <w:t>2.78%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B.深层加工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44.26pt">
                  <v:imagedata r:id="rId6" o:title=""/>
                </v:shape>
              </w:pict>
            </w:r>
            <w:r>
              <w:pict>
                <v:shape id="_x0000_i1028" type="#_x0000_t75" style="height:9pt;width:62.26pt">
                  <v:imagedata r:id="rId7" o:title=""/>
                </v:shape>
              </w:pict>
            </w:r>
            <w:r>
              <w:t>41.67%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C.同时性加工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55.51pt">
                  <v:imagedata r:id="rId8" o:title=""/>
                </v:shape>
              </w:pict>
            </w:r>
            <w:r>
              <w:pict>
                <v:shape id="_x0000_i1030" type="#_x0000_t75" style="height:9pt;width:51.01pt">
                  <v:imagedata r:id="rId9" o:title=""/>
                </v:shape>
              </w:pict>
            </w:r>
            <w:r>
              <w:t>52.78%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D.继时性加工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.25pt">
                  <v:imagedata r:id="rId4" o:title=""/>
                </v:shape>
              </w:pict>
            </w:r>
            <w:r>
              <w:pict>
                <v:shape id="_x0000_i1032" type="#_x0000_t75" style="height:9pt;width:104.26pt">
                  <v:imagedata r:id="rId5" o:title=""/>
                </v:shape>
              </w:pict>
            </w:r>
            <w:r>
              <w:t>2.78%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52.78%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2.首先把事物作为一个整体笼统加以把握，思维的深刻性和准确性较低，直觉性、模糊性较高，这属于( )信息加工。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A.沉思型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.25pt">
                  <v:imagedata r:id="rId4" o:title=""/>
                </v:shape>
              </w:pict>
            </w:r>
            <w:r>
              <w:pict>
                <v:shape id="_x0000_i1034" type="#_x0000_t75" style="height:9pt;width:104.26pt">
                  <v:imagedata r:id="rId5" o:title=""/>
                </v:shape>
              </w:pict>
            </w:r>
            <w:r>
              <w:t>2.78%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B.冲动型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7.26pt">
                  <v:imagedata r:id="rId10" o:title=""/>
                </v:shape>
              </w:pict>
            </w:r>
            <w:r>
              <w:pict>
                <v:shape id="_x0000_i1036" type="#_x0000_t75" style="height:9pt;width:59.26pt">
                  <v:imagedata r:id="rId11" o:title=""/>
                </v:shape>
              </w:pict>
            </w:r>
            <w:r>
              <w:t>44.44%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C.分析型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D.综合型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55.51pt">
                  <v:imagedata r:id="rId8" o:title=""/>
                </v:shape>
              </w:pict>
            </w:r>
            <w:r>
              <w:pict>
                <v:shape id="_x0000_i1039" type="#_x0000_t75" style="height:9pt;width:51.01pt">
                  <v:imagedata r:id="rId9" o:title=""/>
                </v:shape>
              </w:pict>
            </w:r>
            <w:r>
              <w:t>52.78%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52.78%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3.教育学作为一门独立形态的学科，形成于(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A.资本主义社会初期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64.51pt">
                  <v:imagedata r:id="rId13" o:title=""/>
                </v:shape>
              </w:pict>
            </w:r>
            <w:r>
              <w:pict>
                <v:shape id="_x0000_i1041" type="#_x0000_t75" style="height:9pt;width:42.01pt">
                  <v:imagedata r:id="rId14" o:title=""/>
                </v:shape>
              </w:pict>
            </w:r>
            <w:r>
              <w:t>61.11%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B.封建社会末期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1.25pt">
                  <v:imagedata r:id="rId15" o:title=""/>
                </v:shape>
              </w:pict>
            </w:r>
            <w:r>
              <w:pict>
                <v:shape id="_x0000_i1043" type="#_x0000_t75" style="height:9pt;width:95.26pt">
                  <v:imagedata r:id="rId16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C.奴隶社会初期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23.25pt">
                  <v:imagedata r:id="rId17" o:title=""/>
                </v:shape>
              </w:pict>
            </w:r>
            <w:r>
              <w:pict>
                <v:shape id="_x0000_i1045" type="#_x0000_t75" style="height:9pt;width:83.26pt">
                  <v:imagedata r:id="rId18" o:title=""/>
                </v:shape>
              </w:pict>
            </w:r>
            <w:r>
              <w:t>22.22%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D.原始社会末期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5.25pt">
                  <v:imagedata r:id="rId19" o:title=""/>
                </v:shape>
              </w:pict>
            </w:r>
            <w:r>
              <w:pict>
                <v:shape id="_x0000_i1047" type="#_x0000_t75" style="height:9pt;width:101.26pt">
                  <v:imagedata r:id="rId20" o:title=""/>
                </v:shape>
              </w:pict>
            </w:r>
            <w:r>
              <w:t>5.56%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61.11%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4.冲动型认知的特点是(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A.反应慢，精确性高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B.反应快，精确性高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C.反应慢，精确性低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2.25pt">
                  <v:imagedata r:id="rId4" o:title=""/>
                </v:shape>
              </w:pict>
            </w:r>
            <w:r>
              <w:pict>
                <v:shape id="_x0000_i1051" type="#_x0000_t75" style="height:9pt;width:104.26pt">
                  <v:imagedata r:id="rId5" o:title=""/>
                </v:shape>
              </w:pict>
            </w:r>
            <w:r>
              <w:t>2.78%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D.反应快，精确性低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3.51pt">
                  <v:imagedata r:id="rId21" o:title=""/>
                </v:shape>
              </w:pict>
            </w:r>
            <w:r>
              <w:pict>
                <v:shape id="_x0000_i1053" type="#_x0000_t75" style="height:9pt;width:3pt">
                  <v:imagedata r:id="rId22" o:title=""/>
                </v:shape>
              </w:pict>
            </w:r>
            <w:r>
              <w:t>97.22%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97.22%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5.解放初期，在我国流行最广、影响最大的苏联的教育学教材是(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A.凯洛夫的《教育学》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85.51pt">
                  <v:imagedata r:id="rId23" o:title=""/>
                </v:shape>
              </w:pict>
            </w:r>
            <w:r>
              <w:pict>
                <v:shape id="_x0000_i1055" type="#_x0000_t75" style="height:9pt;width:21pt">
                  <v:imagedata r:id="rId24" o:title=""/>
                </v:shape>
              </w:pict>
            </w:r>
            <w:r>
              <w:t>80.56%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B.冈察洛夫的《教育学》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.25pt">
                  <v:imagedata r:id="rId4" o:title=""/>
                </v:shape>
              </w:pict>
            </w:r>
            <w:r>
              <w:pict>
                <v:shape id="_x0000_i1057" type="#_x0000_t75" style="height:9pt;width:104.26pt">
                  <v:imagedata r:id="rId5" o:title=""/>
                </v:shape>
              </w:pict>
            </w:r>
            <w:r>
              <w:t>2.78%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C.巴拉诺夫的《教育学》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1.25pt">
                  <v:imagedata r:id="rId15" o:title=""/>
                </v:shape>
              </w:pict>
            </w:r>
            <w:r>
              <w:pict>
                <v:shape id="_x0000_i1059" type="#_x0000_t75" style="height:9pt;width:95.26pt">
                  <v:imagedata r:id="rId16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D.巴班斯基的《教育学》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5.25pt">
                  <v:imagedata r:id="rId19" o:title=""/>
                </v:shape>
              </w:pict>
            </w:r>
            <w:r>
              <w:pict>
                <v:shape id="_x0000_i1061" type="#_x0000_t75" style="height:9pt;width:101.26pt">
                  <v:imagedata r:id="rId20" o:title=""/>
                </v:shape>
              </w:pict>
            </w:r>
            <w:r>
              <w:t>5.56%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80.56%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