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3月25日每日一练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1.智力的性别差异的研究结果表明，男女智力的总体水平是(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A.女优于男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1.25pt">
                  <v:imagedata r:id="rId4" o:title=""/>
                </v:shape>
              </w:pict>
            </w:r>
            <w:r>
              <w:pict>
                <v:shape id="_x0000_i1026" type="#_x0000_t75" style="height:9pt;width:95.26pt">
                  <v:imagedata r:id="rId5" o:title=""/>
                </v:shape>
              </w:pict>
            </w:r>
            <w:r>
              <w:t>10.64%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B.大致相等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9.76pt">
                  <v:imagedata r:id="rId6" o:title=""/>
                </v:shape>
              </w:pict>
            </w:r>
            <w:r>
              <w:pict>
                <v:shape id="_x0000_i1028" type="#_x0000_t75" style="height:9pt;width:36.76pt">
                  <v:imagedata r:id="rId7" o:title=""/>
                </v:shape>
              </w:pict>
            </w:r>
            <w:r>
              <w:t>65.96%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C.男优于女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4.75pt">
                  <v:imagedata r:id="rId8" o:title=""/>
                </v:shape>
              </w:pict>
            </w:r>
            <w:r>
              <w:pict>
                <v:shape id="_x0000_i1030" type="#_x0000_t75" style="height:9pt;width:81.76pt">
                  <v:imagedata r:id="rId9" o:title=""/>
                </v:shape>
              </w:pict>
            </w:r>
            <w:r>
              <w:t>23.4%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D.中国人相等，外国人不相等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2.在知识的学习过程中，掌握同类事物的共同的关键特征和本质特征属于(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A.概念学习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85.51pt">
                  <v:imagedata r:id="rId11" o:title=""/>
                </v:shape>
              </w:pict>
            </w:r>
            <w:r>
              <w:pict>
                <v:shape id="_x0000_i1033" type="#_x0000_t75" style="height:9pt;width:21pt">
                  <v:imagedata r:id="rId12" o:title=""/>
                </v:shape>
              </w:pict>
            </w:r>
            <w:r>
              <w:t>80.85%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B.意义学习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pt">
                  <v:imagedata r:id="rId13" o:title=""/>
                </v:shape>
              </w:pict>
            </w:r>
            <w:r>
              <w:pict>
                <v:shape id="_x0000_i1035" type="#_x0000_t75" style="height:9pt;width:97.51pt">
                  <v:imagedata r:id="rId14" o:title=""/>
                </v:shape>
              </w:pict>
            </w:r>
            <w:r>
              <w:t>8.51%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C.命题学习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pt">
                  <v:imagedata r:id="rId13" o:title=""/>
                </v:shape>
              </w:pict>
            </w:r>
            <w:r>
              <w:pict>
                <v:shape id="_x0000_i1037" type="#_x0000_t75" style="height:9pt;width:97.51pt">
                  <v:imagedata r:id="rId14" o:title=""/>
                </v:shape>
              </w:pict>
            </w:r>
            <w:r>
              <w:t>8.51%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D.符号学习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2.25pt">
                  <v:imagedata r:id="rId15" o:title=""/>
                </v:shape>
              </w:pict>
            </w:r>
            <w:r>
              <w:pict>
                <v:shape id="_x0000_i1039" type="#_x0000_t75" style="height:9pt;width:104.26pt">
                  <v:imagedata r:id="rId16" o:title=""/>
                </v:shape>
              </w:pict>
            </w:r>
            <w:r>
              <w:t>2.13%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3.艾宾浩斯遗忘曲线说明遗忘的规律是(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A.均衡发展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B.先慢后快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.5pt">
                  <v:imagedata r:id="rId17" o:title=""/>
                </v:shape>
              </w:pict>
            </w:r>
            <w:r>
              <w:pict>
                <v:shape id="_x0000_i1042" type="#_x0000_t75" style="height:9pt;width:102.01pt">
                  <v:imagedata r:id="rId18" o:title=""/>
                </v:shape>
              </w:pict>
            </w:r>
            <w:r>
              <w:t>4.26%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C.先快后慢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4.51pt">
                  <v:imagedata r:id="rId19" o:title=""/>
                </v:shape>
              </w:pict>
            </w:r>
            <w:r>
              <w:pict>
                <v:shape id="_x0000_i1044" type="#_x0000_t75" style="height:9pt;width:12pt">
                  <v:imagedata r:id="rId20" o:title=""/>
                </v:shape>
              </w:pict>
            </w:r>
            <w:r>
              <w:t>89.36%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D.先慢后快又慢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.75pt">
                  <v:imagedata r:id="rId21" o:title=""/>
                </v:shape>
              </w:pict>
            </w:r>
            <w:r>
              <w:pict>
                <v:shape id="_x0000_i1046" type="#_x0000_t75" style="height:9pt;width:99.76pt">
                  <v:imagedata r:id="rId22" o:title=""/>
                </v:shape>
              </w:pict>
            </w:r>
            <w:r>
              <w:t>6.38%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89.36%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4.人和动物一旦学会对某一特定的条件刺激做出条件反应之后，其他与该条件相类似的刺激也会诱发其条件反应。这是条件刺激的(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A.一般化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.5pt">
                  <v:imagedata r:id="rId17" o:title=""/>
                </v:shape>
              </w:pict>
            </w:r>
            <w:r>
              <w:pict>
                <v:shape id="_x0000_i1048" type="#_x0000_t75" style="height:9pt;width:102.01pt">
                  <v:imagedata r:id="rId18" o:title=""/>
                </v:shape>
              </w:pict>
            </w:r>
            <w:r>
              <w:t>4.26%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B.具体化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.75pt">
                  <v:imagedata r:id="rId21" o:title=""/>
                </v:shape>
              </w:pict>
            </w:r>
            <w:r>
              <w:pict>
                <v:shape id="_x0000_i1050" type="#_x0000_t75" style="height:9pt;width:99.76pt">
                  <v:imagedata r:id="rId22" o:title=""/>
                </v:shape>
              </w:pict>
            </w:r>
            <w:r>
              <w:t>6.38%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.75pt">
                  <v:imagedata r:id="rId21" o:title=""/>
                </v:shape>
              </w:pict>
            </w:r>
            <w:r>
              <w:pict>
                <v:shape id="_x0000_i1052" type="#_x0000_t75" style="height:9pt;width:99.76pt">
                  <v:imagedata r:id="rId22" o:title=""/>
                </v:shape>
              </w:pict>
            </w:r>
            <w:r>
              <w:t>6.38%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D.泛化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87.76pt">
                  <v:imagedata r:id="rId23" o:title=""/>
                </v:shape>
              </w:pict>
            </w:r>
            <w:r>
              <w:pict>
                <v:shape id="_x0000_i1054" type="#_x0000_t75" style="height:9pt;width:18.75pt">
                  <v:imagedata r:id="rId24" o:title=""/>
                </v:shape>
              </w:pict>
            </w:r>
            <w:r>
              <w:t>82.98%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82.98%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5.在操作技能形成的哪个阶段，动觉控制起主导作用(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A.操作模仿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7pt">
                  <v:imagedata r:id="rId25" o:title=""/>
                </v:shape>
              </w:pict>
            </w:r>
            <w:r>
              <w:pict>
                <v:shape id="_x0000_i1056" type="#_x0000_t75" style="height:9pt;width:79.51pt">
                  <v:imagedata r:id="rId26" o:title=""/>
                </v:shape>
              </w:pict>
            </w:r>
            <w:r>
              <w:t>25.53%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B.操作整合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5.75pt">
                  <v:imagedata r:id="rId27" o:title=""/>
                </v:shape>
              </w:pict>
            </w:r>
            <w:r>
              <w:pict>
                <v:shape id="_x0000_i1058" type="#_x0000_t75" style="height:9pt;width:90.76pt">
                  <v:imagedata r:id="rId28" o:title=""/>
                </v:shape>
              </w:pict>
            </w:r>
            <w:r>
              <w:t>14.89%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C.操作熟练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8.51pt">
                  <v:imagedata r:id="rId29" o:title=""/>
                </v:shape>
              </w:pict>
            </w:r>
            <w:r>
              <w:pict>
                <v:shape id="_x0000_i1060" type="#_x0000_t75" style="height:9pt;width:48.01pt">
                  <v:imagedata r:id="rId30" o:title=""/>
                </v:shape>
              </w:pict>
            </w:r>
            <w:r>
              <w:t>55.32%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D.操作定向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4.5pt">
                  <v:imagedata r:id="rId17" o:title=""/>
                </v:shape>
              </w:pict>
            </w:r>
            <w:r>
              <w:pict>
                <v:shape id="_x0000_i1062" type="#_x0000_t75" style="height:9pt;width:102.01pt">
                  <v:imagedata r:id="rId18" o:title=""/>
                </v:shape>
              </w:pict>
            </w:r>
            <w:r>
              <w:t>4.26%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55.32%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