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2月19日每日一练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1.学生既是教育的对象，又是教育过程中的主体，学生主体作用的最高表现形式为(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A.自觉性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3.75pt">
                  <v:imagedata r:id="rId4" o:title=""/>
                </v:shape>
              </w:pict>
            </w:r>
            <w:r>
              <w:pict>
                <v:shape id="_x0000_i1026" type="#_x0000_t75" style="height:9pt;width:102.76pt">
                  <v:imagedata r:id="rId5" o:title=""/>
                </v:shape>
              </w:pict>
            </w:r>
            <w:r>
              <w:t>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B.主动性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20.25pt">
                  <v:imagedata r:id="rId6" o:title=""/>
                </v:shape>
              </w:pict>
            </w:r>
            <w:r>
              <w:pict>
                <v:shape id="_x0000_i1028" type="#_x0000_t75" style="height:9pt;width:86.26pt">
                  <v:imagedata r:id="rId7" o:title=""/>
                </v:shape>
              </w:pict>
            </w:r>
            <w:r>
              <w:t>19.23%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C.独立性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2pt">
                  <v:imagedata r:id="rId8" o:title=""/>
                </v:shape>
              </w:pict>
            </w:r>
            <w:r>
              <w:pict>
                <v:shape id="_x0000_i1030" type="#_x0000_t75" style="height:9pt;width:94.51pt">
                  <v:imagedata r:id="rId9" o:title=""/>
                </v:shape>
              </w:pict>
            </w:r>
            <w:r>
              <w:t>11.54%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D.创造性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69.01pt">
                  <v:imagedata r:id="rId10" o:title=""/>
                </v:shape>
              </w:pict>
            </w:r>
            <w:r>
              <w:pict>
                <v:shape id="_x0000_i1032" type="#_x0000_t75" style="height:9pt;width:37.51pt">
                  <v:imagedata r:id="rId11" o:title=""/>
                </v:shape>
              </w:pict>
            </w:r>
            <w:r>
              <w:t>65.38%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65.38%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2.师生关系中最基本的关系是(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A.心理关系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2pt">
                  <v:imagedata r:id="rId8" o:title=""/>
                </v:shape>
              </w:pict>
            </w:r>
            <w:r>
              <w:pict>
                <v:shape id="_x0000_i1034" type="#_x0000_t75" style="height:9pt;width:94.51pt">
                  <v:imagedata r:id="rId9" o:title=""/>
                </v:shape>
              </w:pict>
            </w:r>
            <w:r>
              <w:t>11.54%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B.教育关系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85.51pt">
                  <v:imagedata r:id="rId12" o:title=""/>
                </v:shape>
              </w:pict>
            </w:r>
            <w:r>
              <w:pict>
                <v:shape id="_x0000_i1036" type="#_x0000_t75" style="height:9pt;width:21pt">
                  <v:imagedata r:id="rId13" o:title=""/>
                </v:shape>
              </w:pict>
            </w:r>
            <w:r>
              <w:t>80.77%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C.道德关系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3.75pt">
                  <v:imagedata r:id="rId4" o:title=""/>
                </v:shape>
              </w:pict>
            </w:r>
            <w:r>
              <w:pict>
                <v:shape id="_x0000_i1038" type="#_x0000_t75" style="height:9pt;width:102.76pt">
                  <v:imagedata r:id="rId5" o:title=""/>
                </v:shape>
              </w:pict>
            </w:r>
            <w:r>
              <w:t>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D.社会关系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.75pt">
                  <v:imagedata r:id="rId4" o:title=""/>
                </v:shape>
              </w:pict>
            </w:r>
            <w:r>
              <w:pict>
                <v:shape id="_x0000_i1040" type="#_x0000_t75" style="height:9pt;width:102.76pt">
                  <v:imagedata r:id="rId5" o:title=""/>
                </v:shape>
              </w:pict>
            </w:r>
            <w:r>
              <w:t>3.85%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80.77%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3.课外、校外教育与课堂教学的共同之处在于它们都是(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A.师生共同参加的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5.75pt">
                  <v:imagedata r:id="rId14" o:title=""/>
                </v:shape>
              </w:pict>
            </w:r>
            <w:r>
              <w:pict>
                <v:shape id="_x0000_i1042" type="#_x0000_t75" style="height:9pt;width:90.76pt">
                  <v:imagedata r:id="rId15" o:title=""/>
                </v:shape>
              </w:pict>
            </w:r>
            <w:r>
              <w:t>15.38%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B.有目的、有计划、有组织的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73.51pt">
                  <v:imagedata r:id="rId16" o:title=""/>
                </v:shape>
              </w:pict>
            </w:r>
            <w:r>
              <w:pict>
                <v:shape id="_x0000_i1044" type="#_x0000_t75" style="height:9pt;width:33pt">
                  <v:imagedata r:id="rId17" o:title=""/>
                </v:shape>
              </w:pict>
            </w:r>
            <w:r>
              <w:t>69.23%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C.学生自愿选择的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D.受教学计划、教学大纲规范的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5.75pt">
                  <v:imagedata r:id="rId14" o:title=""/>
                </v:shape>
              </w:pict>
            </w:r>
            <w:r>
              <w:pict>
                <v:shape id="_x0000_i1047" type="#_x0000_t75" style="height:9pt;width:90.76pt">
                  <v:imagedata r:id="rId15" o:title=""/>
                </v:shape>
              </w:pict>
            </w:r>
            <w:r>
              <w:t>15.38%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69.23%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4.在学生心理和行为出现问题的初期给予帮助，这在学校咨询与辅导中被称为(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A.早期干预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73.51pt">
                  <v:imagedata r:id="rId16" o:title=""/>
                </v:shape>
              </w:pict>
            </w:r>
            <w:r>
              <w:pict>
                <v:shape id="_x0000_i1049" type="#_x0000_t75" style="height:9pt;width:33pt">
                  <v:imagedata r:id="rId17" o:title=""/>
                </v:shape>
              </w:pict>
            </w:r>
            <w:r>
              <w:t>69.23%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B.缺陷矮正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C.问题预防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28.5pt">
                  <v:imagedata r:id="rId19" o:title=""/>
                </v:shape>
              </w:pict>
            </w:r>
            <w:r>
              <w:pict>
                <v:shape id="_x0000_i1052" type="#_x0000_t75" style="height:9pt;width:78.01pt">
                  <v:imagedata r:id="rId20" o:title=""/>
                </v:shape>
              </w:pict>
            </w:r>
            <w:r>
              <w:t>26.92%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D.发展指导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3.75pt">
                  <v:imagedata r:id="rId4" o:title=""/>
                </v:shape>
              </w:pict>
            </w:r>
            <w:r>
              <w:pict>
                <v:shape id="_x0000_i1054" type="#_x0000_t75" style="height:9pt;width:102.76pt">
                  <v:imagedata r:id="rId5" o:title=""/>
                </v:shape>
              </w:pict>
            </w:r>
            <w:r>
              <w:t>3.85%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69.23%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5.教师申诉制度确立的依据是(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A.《教育法》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20.25pt">
                  <v:imagedata r:id="rId6" o:title=""/>
                </v:shape>
              </w:pict>
            </w:r>
            <w:r>
              <w:pict>
                <v:shape id="_x0000_i1056" type="#_x0000_t75" style="height:9pt;width:86.26pt">
                  <v:imagedata r:id="rId7" o:title=""/>
                </v:shape>
              </w:pict>
            </w:r>
            <w:r>
              <w:t>19.23%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B.《教师法》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77.26pt">
                  <v:imagedata r:id="rId21" o:title=""/>
                </v:shape>
              </w:pict>
            </w:r>
            <w:r>
              <w:pict>
                <v:shape id="_x0000_i1058" type="#_x0000_t75" style="height:9pt;width:29.25pt">
                  <v:imagedata r:id="rId22" o:title=""/>
                </v:shape>
              </w:pict>
            </w:r>
            <w:r>
              <w:t>73.08%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C.《高等教育法》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D.《职业教育法》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7.5pt">
                  <v:imagedata r:id="rId23" o:title=""/>
                </v:shape>
              </w:pict>
            </w:r>
            <w:r>
              <w:pict>
                <v:shape id="_x0000_i1061" type="#_x0000_t75" style="height:9pt;width:99.01pt">
                  <v:imagedata r:id="rId24" o:title=""/>
                </v:shape>
              </w:pict>
            </w:r>
            <w:r>
              <w:t>7.69%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73.08%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