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9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904"/>
        <w:gridCol w:w="673"/>
        <w:gridCol w:w="5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1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t>招聘岗位</w:t>
            </w:r>
          </w:p>
        </w:tc>
        <w:tc>
          <w:tcPr>
            <w:tcW w:w="39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招聘</w:t>
            </w:r>
          </w:p>
          <w:p>
            <w:pPr>
              <w:rPr/>
            </w:pPr>
            <w:r>
              <w:rPr>
                <w:rFonts w:hint="eastAsia"/>
              </w:rPr>
              <w:t>人数</w:t>
            </w:r>
          </w:p>
        </w:tc>
        <w:tc>
          <w:tcPr>
            <w:tcW w:w="35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57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党政办公室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干事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5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全日制硕士研究生学历学位，中国语言文学类（0501）专业；全日制本科专业相同或相近。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7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组织部（人事处）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干事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5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全日制硕士研究生学历学位，新闻传播学（0503）、中国语言文学（0501）、哲学（0101）或企业管理（人力资源管理）（120202）专业；全日制本科专业相同或相近；中共党员。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7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宣传部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干事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5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全日制硕士研究生学历学位，新闻传播学（0503）、新闻与传播（055200）或中国语言文学（0501）；全日制本科专业相同或相近；中共党员。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7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教务处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创新创业教育指导干事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5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全日制硕士研究生学历学位，企业管理（120202）、工商管理（1251）；全日制本科专业相同或相近。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7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审计处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干事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5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全日制硕士研究生学历学位，管理科学与工程（1201、工程造价方向）、会计（1253）、审计（1202Z2、025700）、企业管理（120202、财务管理方向）；全日制本科专业相同或相近。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7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纪委监督检查室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干事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5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全日制硕士研究生学历学位，行政管理（120401）、思想政治教育（030505）、语言学及应用语言学（050102）、教育经济与管理（120403）、经济法学（030107）或政治学理</w:t>
            </w:r>
            <w:bookmarkStart w:id="0" w:name="_GoBack"/>
            <w:bookmarkEnd w:id="0"/>
            <w:r>
              <w:rPr>
                <w:rFonts w:hint="eastAsia"/>
              </w:rPr>
              <w:t>论（030201）专业；全日制本科专业相同或相近；中共党员。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7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督导室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数据管理干事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5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计算机科学与技术类专业（0812）、软件工程类（0835)、计算机技术（085211）或软件工程（085212）专业；全日制本科为计算机类（0809）、信息管理与信息系统（120102）、数学与应用数学（070101）、信息与计算科学（070102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57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学工部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干事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5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全日制硕士研究生学历学位，工学类（08）、管理学类（12）、新闻与传播专业（055200）；全日制本科；中共党员；需入住男生宿舍，限男性。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E16F2"/>
    <w:rsid w:val="17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2021-02-07T02:26:00Z</dcterms:created>
  <dc:creator>李玲</dc:creator>
  <cp:lastModifiedBy>李玲</cp:lastModifiedBy>
  <dcterms:modified xsi:type="dcterms:W3CDTF">2021-02-07T02:26:48Z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