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7月14日国编每日一练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1.由于数学老师讲课生动，激发了学生学习数学的兴趣与愿望，这种学习动机属于(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A.近景的直接动机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86.26pt">
                  <v:imagedata r:id="rId4" o:title=""/>
                </v:shape>
              </w:pict>
            </w:r>
            <w:r>
              <w:pict>
                <v:shape id="_x0000_i1026" type="#_x0000_t75" style="height:9pt;width:20.25pt">
                  <v:imagedata r:id="rId5" o:title=""/>
                </v:shape>
              </w:pict>
            </w:r>
            <w:r>
              <w:t>81.48%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B.远景的直接动机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7" type="#_x0000_t75" style="height:9pt;width:11.25pt">
                  <v:imagedata r:id="rId6" o:title=""/>
                </v:shape>
              </w:pict>
            </w:r>
            <w:r>
              <w:pict>
                <v:shape id="_x0000_i1028" type="#_x0000_t75" style="height:9pt;width:95.26pt">
                  <v:imagedata r:id="rId7" o:title=""/>
                </v:shape>
              </w:pict>
            </w:r>
            <w:r>
              <w:t>11.11%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C.低级的动机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3.75pt">
                  <v:imagedata r:id="rId8" o:title=""/>
                </v:shape>
              </w:pict>
            </w:r>
            <w:r>
              <w:pict>
                <v:shape id="_x0000_i1030" type="#_x0000_t75" style="height:9pt;width:102.76pt">
                  <v:imagedata r:id="rId9" o:title=""/>
                </v:shape>
              </w:pict>
            </w:r>
            <w:r>
              <w:t>3.7%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D.高尚的动机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3.75pt">
                  <v:imagedata r:id="rId8" o:title=""/>
                </v:shape>
              </w:pict>
            </w:r>
            <w:r>
              <w:pict>
                <v:shape id="_x0000_i1032" type="#_x0000_t75" style="height:9pt;width:102.76pt">
                  <v:imagedata r:id="rId9" o:title=""/>
                </v:shape>
              </w:pict>
            </w:r>
            <w:r>
              <w:t>3.7%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81.48%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2.学生相信自己有能力学好某门课程，因此对该课程认真学习并在期末取得了好的成绩。学生对自己能力的这种判断属于(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A.结果期待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3.75pt">
                  <v:imagedata r:id="rId8" o:title=""/>
                </v:shape>
              </w:pict>
            </w:r>
            <w:r>
              <w:pict>
                <v:shape id="_x0000_i1034" type="#_x0000_t75" style="height:9pt;width:102.76pt">
                  <v:imagedata r:id="rId9" o:title=""/>
                </v:shape>
              </w:pict>
            </w:r>
            <w:r>
              <w:t>3.7%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B.能力归因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42.76pt">
                  <v:imagedata r:id="rId10" o:title=""/>
                </v:shape>
              </w:pict>
            </w:r>
            <w:r>
              <w:pict>
                <v:shape id="_x0000_i1036" type="#_x0000_t75" style="height:9pt;width:63.76pt">
                  <v:imagedata r:id="rId11" o:title=""/>
                </v:shape>
              </w:pict>
            </w:r>
            <w:r>
              <w:t>40.74%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C.效能期待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42.76pt">
                  <v:imagedata r:id="rId10" o:title=""/>
                </v:shape>
              </w:pict>
            </w:r>
            <w:r>
              <w:pict>
                <v:shape id="_x0000_i1038" type="#_x0000_t75" style="height:9pt;width:63.76pt">
                  <v:imagedata r:id="rId11" o:title=""/>
                </v:shape>
              </w:pict>
            </w:r>
            <w:r>
              <w:t>40.74%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D.努力归因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5.75pt">
                  <v:imagedata r:id="rId12" o:title=""/>
                </v:shape>
              </w:pict>
            </w:r>
            <w:r>
              <w:pict>
                <v:shape id="_x0000_i1040" type="#_x0000_t75" style="height:9pt;width:90.76pt">
                  <v:imagedata r:id="rId13" o:title=""/>
                </v:shape>
              </w:pict>
            </w:r>
            <w:r>
              <w:t>14.81%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40.74%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3.学生在考试时，有时遇到难题，就学会了“跳跃”，先做简单的题目，这属于(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A.认知策略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7.5pt">
                  <v:imagedata r:id="rId14" o:title=""/>
                </v:shape>
              </w:pict>
            </w:r>
            <w:r>
              <w:pict>
                <v:shape id="_x0000_i1042" type="#_x0000_t75" style="height:9pt;width:99.01pt">
                  <v:imagedata r:id="rId15" o:title=""/>
                </v:shape>
              </w:pict>
            </w:r>
            <w:r>
              <w:t>7.41%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B.元认知策略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54.76pt">
                  <v:imagedata r:id="rId16" o:title=""/>
                </v:shape>
              </w:pict>
            </w:r>
            <w:r>
              <w:pict>
                <v:shape id="_x0000_i1044" type="#_x0000_t75" style="height:9pt;width:51.76pt">
                  <v:imagedata r:id="rId17" o:title=""/>
                </v:shape>
              </w:pict>
            </w:r>
            <w:r>
              <w:t>51.85%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C.资源管理策略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42.76pt">
                  <v:imagedata r:id="rId10" o:title=""/>
                </v:shape>
              </w:pict>
            </w:r>
            <w:r>
              <w:pict>
                <v:shape id="_x0000_i1046" type="#_x0000_t75" style="height:9pt;width:63.76pt">
                  <v:imagedata r:id="rId11" o:title=""/>
                </v:shape>
              </w:pict>
            </w:r>
            <w:r>
              <w:t>40.74%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D.精加工策略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06.51pt">
                  <v:imagedata r:id="rId1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51.85%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4.举一反三，闻一知十等都是属于(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A.同化性迁移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78.76pt">
                  <v:imagedata r:id="rId19" o:title=""/>
                </v:shape>
              </w:pict>
            </w:r>
            <w:r>
              <w:pict>
                <v:shape id="_x0000_i1049" type="#_x0000_t75" style="height:9pt;width:27.75pt">
                  <v:imagedata r:id="rId20" o:title=""/>
                </v:shape>
              </w:pict>
            </w:r>
            <w:r>
              <w:t>74.07%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B.顺应性迁移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15.75pt">
                  <v:imagedata r:id="rId12" o:title=""/>
                </v:shape>
              </w:pict>
            </w:r>
            <w:r>
              <w:pict>
                <v:shape id="_x0000_i1051" type="#_x0000_t75" style="height:9pt;width:90.76pt">
                  <v:imagedata r:id="rId13" o:title=""/>
                </v:shape>
              </w:pict>
            </w:r>
            <w:r>
              <w:t>14.81%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C.重组性迁移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3.75pt">
                  <v:imagedata r:id="rId8" o:title=""/>
                </v:shape>
              </w:pict>
            </w:r>
            <w:r>
              <w:pict>
                <v:shape id="_x0000_i1053" type="#_x0000_t75" style="height:9pt;width:102.76pt">
                  <v:imagedata r:id="rId9" o:title=""/>
                </v:shape>
              </w:pict>
            </w:r>
            <w:r>
              <w:t>3.7%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D.一般迁移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7.5pt">
                  <v:imagedata r:id="rId14" o:title=""/>
                </v:shape>
              </w:pict>
            </w:r>
            <w:r>
              <w:pict>
                <v:shape id="_x0000_i1055" type="#_x0000_t75" style="height:9pt;width:99.01pt">
                  <v:imagedata r:id="rId15" o:title=""/>
                </v:shape>
              </w:pict>
            </w:r>
            <w:r>
              <w:t>7.41%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74.07%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5.下列不属于组织策略的是(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A.列提纲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7.5pt">
                  <v:imagedata r:id="rId14" o:title=""/>
                </v:shape>
              </w:pict>
            </w:r>
            <w:r>
              <w:pict>
                <v:shape id="_x0000_i1057" type="#_x0000_t75" style="height:9pt;width:99.01pt">
                  <v:imagedata r:id="rId15" o:title=""/>
                </v:shape>
              </w:pict>
            </w:r>
            <w:r>
              <w:t>7.41%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B.划线标注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86.26pt">
                  <v:imagedata r:id="rId4" o:title=""/>
                </v:shape>
              </w:pict>
            </w:r>
            <w:r>
              <w:pict>
                <v:shape id="_x0000_i1059" type="#_x0000_t75" style="height:9pt;width:20.25pt">
                  <v:imagedata r:id="rId5" o:title=""/>
                </v:shape>
              </w:pict>
            </w:r>
            <w:r>
              <w:t>81.48%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C.利用图示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0" type="#_x0000_t75" style="height:9pt;width:11.25pt">
                  <v:imagedata r:id="rId6" o:title=""/>
                </v:shape>
              </w:pict>
            </w:r>
            <w:r>
              <w:pict>
                <v:shape id="_x0000_i1061" type="#_x0000_t75" style="height:9pt;width:95.26pt">
                  <v:imagedata r:id="rId7" o:title=""/>
                </v:shape>
              </w:pict>
            </w:r>
            <w:r>
              <w:t>11.11%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D.利用表格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2" type="#_x0000_t75" style="height:9pt;width:106.51pt">
                  <v:imagedata r:id="rId18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81.48%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