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7月14日国编每日一练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1.由于数学老师讲课生动，激发了学生学习数学的兴趣与愿望，这种学习动机属于(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A.近景的直接动机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6.26pt">
                  <v:imagedata r:id="rId4" o:title=""/>
                </v:shape>
              </w:pict>
            </w:r>
            <w:r>
              <w:pict>
                <v:shape id="_x0000_i1026" type="#_x0000_t75" style="height:9pt;width:20.25pt">
                  <v:imagedata r:id="rId5" o:title=""/>
                </v:shape>
              </w:pict>
            </w:r>
            <w:r>
              <w:t>81.48%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B.远景的直接动机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C.低级的动机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.75pt">
                  <v:imagedata r:id="rId8" o:title=""/>
                </v:shape>
              </w:pict>
            </w:r>
            <w:r>
              <w:pict>
                <v:shape id="_x0000_i1030" type="#_x0000_t75" style="height:9pt;width:102.76pt">
                  <v:imagedata r:id="rId9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D.高尚的动机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.75pt">
                  <v:imagedata r:id="rId8" o:title=""/>
                </v:shape>
              </w:pict>
            </w:r>
            <w:r>
              <w:pict>
                <v:shape id="_x0000_i1032" type="#_x0000_t75" style="height:9pt;width:102.76pt">
                  <v:imagedata r:id="rId9" o:title=""/>
                </v:shape>
              </w:pict>
            </w:r>
            <w:r>
              <w:t>3.7%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2.学生相信自己有能力学好某门课程，因此对该课程认真学习并在期末取得了好的成绩。学生对自己能力的这种判断属于(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A.结果期待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.75pt">
                  <v:imagedata r:id="rId8" o:title=""/>
                </v:shape>
              </w:pict>
            </w:r>
            <w:r>
              <w:pict>
                <v:shape id="_x0000_i1034" type="#_x0000_t75" style="height:9pt;width:102.76pt">
                  <v:imagedata r:id="rId9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B.能力归因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2.76pt">
                  <v:imagedata r:id="rId10" o:title=""/>
                </v:shape>
              </w:pict>
            </w:r>
            <w:r>
              <w:pict>
                <v:shape id="_x0000_i1036" type="#_x0000_t75" style="height:9pt;width:63.76pt">
                  <v:imagedata r:id="rId11" o:title=""/>
                </v:shape>
              </w:pict>
            </w:r>
            <w:r>
              <w:t>40.74%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C.效能期待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2.76pt">
                  <v:imagedata r:id="rId10" o:title=""/>
                </v:shape>
              </w:pict>
            </w:r>
            <w:r>
              <w:pict>
                <v:shape id="_x0000_i1038" type="#_x0000_t75" style="height:9pt;width:63.76pt">
                  <v:imagedata r:id="rId11" o:title=""/>
                </v:shape>
              </w:pict>
            </w:r>
            <w:r>
              <w:t>40.74%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D.努力归因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5.75pt">
                  <v:imagedata r:id="rId12" o:title=""/>
                </v:shape>
              </w:pict>
            </w:r>
            <w:r>
              <w:pict>
                <v:shape id="_x0000_i1040" type="#_x0000_t75" style="height:9pt;width:90.76pt">
                  <v:imagedata r:id="rId13" o:title=""/>
                </v:shape>
              </w:pict>
            </w:r>
            <w:r>
              <w:t>14.81%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40.74%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3.学生在考试时，有时遇到难题，就学会了“跳跃”，先做简单的题目，这属于(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A.认知策略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.5pt">
                  <v:imagedata r:id="rId14" o:title=""/>
                </v:shape>
              </w:pict>
            </w:r>
            <w:r>
              <w:pict>
                <v:shape id="_x0000_i1042" type="#_x0000_t75" style="height:9pt;width:99.01pt">
                  <v:imagedata r:id="rId15" o:title=""/>
                </v:shape>
              </w:pict>
            </w:r>
            <w:r>
              <w:t>7.41%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B.元认知策略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54.76pt">
                  <v:imagedata r:id="rId16" o:title=""/>
                </v:shape>
              </w:pict>
            </w:r>
            <w:r>
              <w:pict>
                <v:shape id="_x0000_i1044" type="#_x0000_t75" style="height:9pt;width:51.76pt">
                  <v:imagedata r:id="rId17" o:title=""/>
                </v:shape>
              </w:pict>
            </w:r>
            <w:r>
              <w:t>51.85%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C.资源管理策略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2.76pt">
                  <v:imagedata r:id="rId10" o:title=""/>
                </v:shape>
              </w:pict>
            </w:r>
            <w:r>
              <w:pict>
                <v:shape id="_x0000_i1046" type="#_x0000_t75" style="height:9pt;width:63.76pt">
                  <v:imagedata r:id="rId11" o:title=""/>
                </v:shape>
              </w:pict>
            </w:r>
            <w:r>
              <w:t>40.74%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D.精加工策略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4.举一反三，闻一知十等都是属于(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A.同化性迁移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78.76pt">
                  <v:imagedata r:id="rId19" o:title=""/>
                </v:shape>
              </w:pict>
            </w:r>
            <w:r>
              <w:pict>
                <v:shape id="_x0000_i1049" type="#_x0000_t75" style="height:9pt;width:27.75pt">
                  <v:imagedata r:id="rId20" o:title=""/>
                </v:shape>
              </w:pict>
            </w:r>
            <w:r>
              <w:t>74.07%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B.顺应性迁移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5.75pt">
                  <v:imagedata r:id="rId12" o:title=""/>
                </v:shape>
              </w:pict>
            </w:r>
            <w:r>
              <w:pict>
                <v:shape id="_x0000_i1051" type="#_x0000_t75" style="height:9pt;width:90.76pt">
                  <v:imagedata r:id="rId13" o:title=""/>
                </v:shape>
              </w:pict>
            </w:r>
            <w:r>
              <w:t>14.81%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C.重组性迁移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.75pt">
                  <v:imagedata r:id="rId8" o:title=""/>
                </v:shape>
              </w:pict>
            </w:r>
            <w:r>
              <w:pict>
                <v:shape id="_x0000_i1053" type="#_x0000_t75" style="height:9pt;width:102.76pt">
                  <v:imagedata r:id="rId9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D.一般迁移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7.5pt">
                  <v:imagedata r:id="rId14" o:title=""/>
                </v:shape>
              </w:pict>
            </w:r>
            <w:r>
              <w:pict>
                <v:shape id="_x0000_i1055" type="#_x0000_t75" style="height:9pt;width:99.01pt">
                  <v:imagedata r:id="rId15" o:title=""/>
                </v:shape>
              </w:pict>
            </w:r>
            <w:r>
              <w:t>7.41%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74.07%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5.下列不属于组织策略的是(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A.列提纲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7.5pt">
                  <v:imagedata r:id="rId14" o:title=""/>
                </v:shape>
              </w:pict>
            </w:r>
            <w:r>
              <w:pict>
                <v:shape id="_x0000_i1057" type="#_x0000_t75" style="height:9pt;width:99.01pt">
                  <v:imagedata r:id="rId15" o:title=""/>
                </v:shape>
              </w:pict>
            </w:r>
            <w:r>
              <w:t>7.41%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B.划线标注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86.26pt">
                  <v:imagedata r:id="rId4" o:title=""/>
                </v:shape>
              </w:pict>
            </w:r>
            <w:r>
              <w:pict>
                <v:shape id="_x0000_i1059" type="#_x0000_t75" style="height:9pt;width:20.25pt">
                  <v:imagedata r:id="rId5" o:title=""/>
                </v:shape>
              </w:pict>
            </w:r>
            <w:r>
              <w:t>81.48%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C.利用图示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1.25pt">
                  <v:imagedata r:id="rId6" o:title=""/>
                </v:shape>
              </w:pict>
            </w:r>
            <w:r>
              <w:pict>
                <v:shape id="_x0000_i1061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D.利用表格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81.48%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